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89" w:rsidRPr="00CE5A7E" w:rsidRDefault="00416689" w:rsidP="00AA5950">
      <w:pPr>
        <w:spacing w:line="240" w:lineRule="auto"/>
        <w:rPr>
          <w:rFonts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A0"/>
      </w:tblPr>
      <w:tblGrid>
        <w:gridCol w:w="9426"/>
      </w:tblGrid>
      <w:tr w:rsidR="00363236" w:rsidRPr="00CE5A7E" w:rsidTr="00C2122B">
        <w:trPr>
          <w:trHeight w:val="1633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342DE" w:rsidRDefault="007342DE" w:rsidP="00AA595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710F79" w:rsidRDefault="00363236" w:rsidP="00AA595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10F7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Záznam o činnostech zpracování </w:t>
            </w:r>
            <w:r w:rsidR="00644A40" w:rsidRPr="00710F7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–</w:t>
            </w:r>
            <w:r w:rsidRPr="00710F7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B4D64" w:rsidRPr="00710F7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Czech POINT</w:t>
            </w:r>
            <w:r w:rsidRPr="00710F7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br/>
              <w:t>čl. 30 odst. 1 obecného nařízení o ochraně osobních údajů</w:t>
            </w:r>
            <w:r w:rsidR="007807D1" w:rsidRPr="00710F7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(GDPR</w:t>
            </w:r>
            <w:r w:rsidR="00F32E8D" w:rsidRPr="00710F7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)</w:t>
            </w:r>
          </w:p>
          <w:p w:rsidR="00363236" w:rsidRPr="00CE5A7E" w:rsidRDefault="00363236" w:rsidP="00AA595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CE5A7E" w:rsidRDefault="00363236" w:rsidP="00DF3402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Správce:</w:t>
            </w:r>
            <w:r w:rsidR="00B00EFF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DF3402">
              <w:rPr>
                <w:rFonts w:cs="Arial"/>
                <w:b/>
                <w:bCs/>
                <w:color w:val="000000"/>
                <w:lang w:eastAsia="cs-CZ"/>
              </w:rPr>
              <w:t xml:space="preserve">Obec </w:t>
            </w:r>
            <w:proofErr w:type="spellStart"/>
            <w:r w:rsidR="00DF3402">
              <w:rPr>
                <w:rFonts w:cs="Arial"/>
                <w:b/>
                <w:bCs/>
                <w:color w:val="000000"/>
                <w:lang w:eastAsia="cs-CZ"/>
              </w:rPr>
              <w:t>Ohařice</w:t>
            </w:r>
            <w:proofErr w:type="spellEnd"/>
            <w:r w:rsidR="00DF3402">
              <w:rPr>
                <w:rFonts w:cs="Arial"/>
                <w:b/>
                <w:bCs/>
                <w:color w:val="000000"/>
                <w:lang w:eastAsia="cs-CZ"/>
              </w:rPr>
              <w:t xml:space="preserve">, </w:t>
            </w:r>
            <w:proofErr w:type="spellStart"/>
            <w:r w:rsidR="00DF3402" w:rsidRPr="00DF3402">
              <w:rPr>
                <w:rFonts w:cs="Arial"/>
                <w:b/>
                <w:bCs/>
                <w:color w:val="000000"/>
                <w:lang w:eastAsia="cs-CZ"/>
              </w:rPr>
              <w:t>Ohařice</w:t>
            </w:r>
            <w:proofErr w:type="spellEnd"/>
            <w:r w:rsidR="00DF3402" w:rsidRPr="00DF3402">
              <w:rPr>
                <w:rFonts w:cs="Arial"/>
                <w:b/>
                <w:bCs/>
                <w:color w:val="000000"/>
                <w:lang w:eastAsia="cs-CZ"/>
              </w:rPr>
              <w:t xml:space="preserve"> 4</w:t>
            </w:r>
            <w:r w:rsidR="00213102">
              <w:rPr>
                <w:rFonts w:cs="Arial"/>
                <w:b/>
                <w:bCs/>
                <w:color w:val="000000"/>
                <w:lang w:eastAsia="cs-CZ"/>
              </w:rPr>
              <w:t>1, 506 01 Jičín, ID Datové schránky</w:t>
            </w:r>
            <w:r w:rsidR="00DF3402">
              <w:rPr>
                <w:rFonts w:cs="Arial"/>
                <w:b/>
                <w:bCs/>
                <w:color w:val="000000"/>
                <w:lang w:eastAsia="cs-CZ"/>
              </w:rPr>
              <w:t xml:space="preserve">: </w:t>
            </w:r>
            <w:r w:rsidR="00DF3402" w:rsidRPr="00DF3402">
              <w:rPr>
                <w:rFonts w:cs="Arial"/>
                <w:b/>
                <w:bCs/>
                <w:color w:val="000000"/>
                <w:lang w:eastAsia="cs-CZ"/>
              </w:rPr>
              <w:t>jdha6yb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>Pověřenec pro ochranu osobních údajů:</w:t>
            </w:r>
            <w:r w:rsidR="009106B9">
              <w:rPr>
                <w:rFonts w:cs="Arial"/>
                <w:b/>
                <w:bCs/>
                <w:color w:val="000000"/>
                <w:lang w:eastAsia="cs-CZ"/>
              </w:rPr>
              <w:t xml:space="preserve"> Pa</w:t>
            </w:r>
            <w:r w:rsidR="00C2122B">
              <w:rPr>
                <w:rFonts w:cs="Arial"/>
                <w:b/>
                <w:bCs/>
                <w:color w:val="000000"/>
                <w:lang w:eastAsia="cs-CZ"/>
              </w:rPr>
              <w:t>e</w:t>
            </w:r>
            <w:r w:rsidR="009106B9">
              <w:rPr>
                <w:rFonts w:cs="Arial"/>
                <w:b/>
                <w:bCs/>
                <w:color w:val="000000"/>
                <w:lang w:eastAsia="cs-CZ"/>
              </w:rPr>
              <w:t>dDr. Pavel Dědeček, data.obce@seznam.</w:t>
            </w:r>
            <w:proofErr w:type="spellStart"/>
            <w:r w:rsidR="009106B9">
              <w:rPr>
                <w:rFonts w:cs="Arial"/>
                <w:b/>
                <w:bCs/>
                <w:color w:val="000000"/>
                <w:lang w:eastAsia="cs-CZ"/>
              </w:rPr>
              <w:t>cz</w:t>
            </w:r>
            <w:proofErr w:type="spellEnd"/>
          </w:p>
        </w:tc>
      </w:tr>
      <w:tr w:rsidR="00363236" w:rsidRPr="00CE5A7E" w:rsidTr="00C2122B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363236" w:rsidRPr="00CE5A7E" w:rsidRDefault="00363236" w:rsidP="00AA595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C2122B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363236" w:rsidRPr="00CE5A7E" w:rsidRDefault="00363236" w:rsidP="00AA5950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B42DE2">
              <w:rPr>
                <w:rFonts w:cs="Arial"/>
                <w:b/>
                <w:bCs/>
                <w:lang w:eastAsia="cs-CZ"/>
              </w:rPr>
              <w:t>KONTAKTNÍHO MÍSTA VEŘEJNÉ SPRÁVY</w:t>
            </w:r>
          </w:p>
        </w:tc>
      </w:tr>
      <w:tr w:rsidR="007807D1" w:rsidRPr="00CE5A7E" w:rsidTr="00C2122B">
        <w:trPr>
          <w:trHeight w:val="1368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7807D1" w:rsidRPr="007807D1" w:rsidRDefault="007807D1" w:rsidP="00AA5950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4B4D64" w:rsidRDefault="004B4D64" w:rsidP="00AA595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365/2000 Sb., o informačních systémech veřejné správy,</w:t>
            </w:r>
          </w:p>
          <w:p w:rsidR="004B4D64" w:rsidRDefault="004B4D64" w:rsidP="00AA595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zvláštní právní předpisy upravující podání správním orgánům prostřednictvím kontaktních míst veřejné správy</w:t>
            </w:r>
            <w:r w:rsidR="00B42DE2">
              <w:rPr>
                <w:rFonts w:cs="Arial"/>
              </w:rPr>
              <w:t>, například:</w:t>
            </w:r>
          </w:p>
          <w:p w:rsidR="00FC038D" w:rsidRDefault="00FC038D" w:rsidP="00AA595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zákon č. 455/1991 Sb., o živnostenském podnikání </w:t>
            </w:r>
            <w:r w:rsidRPr="00FC038D">
              <w:rPr>
                <w:rFonts w:cs="Arial"/>
              </w:rPr>
              <w:t>(živnostenský zákon)</w:t>
            </w:r>
            <w:r>
              <w:rPr>
                <w:rFonts w:cs="Arial"/>
              </w:rPr>
              <w:t>,</w:t>
            </w:r>
          </w:p>
          <w:p w:rsidR="00FC34C9" w:rsidRDefault="00FC34C9" w:rsidP="00AA595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269/1994 Sb., o Rejstříku trestů,</w:t>
            </w:r>
          </w:p>
          <w:p w:rsidR="004B4D64" w:rsidRDefault="004B4D64" w:rsidP="00AA595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111/1999 Sb., o základních registrech,</w:t>
            </w:r>
          </w:p>
          <w:p w:rsidR="007807D1" w:rsidRDefault="007807D1" w:rsidP="00AA595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</w:t>
            </w:r>
            <w:r w:rsidR="00644A40">
              <w:rPr>
                <w:rFonts w:cs="Arial"/>
              </w:rPr>
              <w:t xml:space="preserve">133/2000 Sb., </w:t>
            </w:r>
            <w:r w:rsidR="00644A40" w:rsidRPr="00644A40">
              <w:rPr>
                <w:rFonts w:cs="Arial"/>
              </w:rPr>
              <w:t>o evidenci obyvatel a rodných čís</w:t>
            </w:r>
            <w:r w:rsidR="00644A40">
              <w:rPr>
                <w:rFonts w:cs="Arial"/>
              </w:rPr>
              <w:t xml:space="preserve">lech a o změně některých zákonů </w:t>
            </w:r>
            <w:r w:rsidR="00644A40" w:rsidRPr="00644A40">
              <w:rPr>
                <w:rFonts w:cs="Arial"/>
              </w:rPr>
              <w:t>(zákon o evidenci obyvatel)</w:t>
            </w:r>
            <w:r>
              <w:rPr>
                <w:rFonts w:cs="Arial"/>
              </w:rPr>
              <w:t>,</w:t>
            </w:r>
          </w:p>
          <w:p w:rsidR="006F0292" w:rsidRDefault="006F0292" w:rsidP="00AA595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zákon č. 361/2000 Sb., </w:t>
            </w:r>
            <w:r w:rsidRPr="006F0292">
              <w:rPr>
                <w:rFonts w:cs="Arial"/>
              </w:rPr>
              <w:t>o provozu na pozemních komunikací</w:t>
            </w:r>
            <w:r w:rsidR="00375592">
              <w:rPr>
                <w:rFonts w:cs="Arial"/>
              </w:rPr>
              <w:t xml:space="preserve">ch a o změnách některých zákonů </w:t>
            </w:r>
            <w:r w:rsidRPr="006F0292">
              <w:rPr>
                <w:rFonts w:cs="Arial"/>
              </w:rPr>
              <w:t>(zákon o silničním provozu)</w:t>
            </w:r>
            <w:r w:rsidR="00FC038D">
              <w:rPr>
                <w:rFonts w:cs="Arial"/>
              </w:rPr>
              <w:t>,</w:t>
            </w:r>
          </w:p>
          <w:p w:rsidR="00A23E2B" w:rsidRDefault="00A23E2B" w:rsidP="00AA595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500/2004 Sb., správní řád,</w:t>
            </w:r>
          </w:p>
          <w:p w:rsidR="00F51D68" w:rsidRDefault="00F51D68" w:rsidP="00AA595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zákon č. 300/2008 Sb., </w:t>
            </w:r>
            <w:r w:rsidRPr="00F51D68">
              <w:rPr>
                <w:rFonts w:cs="Arial"/>
              </w:rPr>
              <w:t>o elektronických úkonech a autorizované konverzi dokumentů</w:t>
            </w:r>
            <w:r w:rsidR="00404516">
              <w:rPr>
                <w:rFonts w:cs="Arial"/>
              </w:rPr>
              <w:t>.</w:t>
            </w:r>
          </w:p>
          <w:p w:rsidR="007807D1" w:rsidRDefault="007807D1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</w:p>
          <w:p w:rsidR="00E87472" w:rsidRDefault="00E87472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(Tento záznam o činnostech upravuje pouze poskytování služby kontaktního místa veřejné správy veřejnosti, nikoli využívání Czech POINT pro vlastní činnost úřadu – takováto zpracování osobních údajů jsou součástí jednotlivých agend, jimž jsou věnovány ostatní záznamy o činnostech.</w:t>
            </w:r>
          </w:p>
          <w:p w:rsidR="00E87472" w:rsidRPr="007807D1" w:rsidRDefault="00E87472" w:rsidP="00404516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Na obec se při poskytov</w:t>
            </w:r>
            <w:r w:rsidR="00B42DE2">
              <w:rPr>
                <w:rFonts w:cs="Arial"/>
                <w:lang w:eastAsia="cs-CZ"/>
              </w:rPr>
              <w:t>ání</w:t>
            </w:r>
            <w:r>
              <w:rPr>
                <w:rFonts w:cs="Arial"/>
                <w:lang w:eastAsia="cs-CZ"/>
              </w:rPr>
              <w:t xml:space="preserve"> služby Czech POINT pohlíží </w:t>
            </w:r>
            <w:r w:rsidR="00B42DE2">
              <w:rPr>
                <w:rFonts w:cs="Arial"/>
                <w:lang w:eastAsia="cs-CZ"/>
              </w:rPr>
              <w:t xml:space="preserve">z hlediska GDPR </w:t>
            </w:r>
            <w:r>
              <w:rPr>
                <w:rFonts w:cs="Arial"/>
                <w:lang w:eastAsia="cs-CZ"/>
              </w:rPr>
              <w:t>jako na správce osobních údajů</w:t>
            </w:r>
            <w:r w:rsidR="00B42DE2">
              <w:rPr>
                <w:rFonts w:cs="Arial"/>
                <w:lang w:eastAsia="cs-CZ"/>
              </w:rPr>
              <w:t xml:space="preserve"> – záznam se týká údajů, které obec získává od subjektu údajů pro účely poskytnutí služby </w:t>
            </w:r>
            <w:proofErr w:type="spellStart"/>
            <w:r w:rsidR="00B42DE2">
              <w:rPr>
                <w:rFonts w:cs="Arial"/>
                <w:lang w:eastAsia="cs-CZ"/>
              </w:rPr>
              <w:t>CzechPoint</w:t>
            </w:r>
            <w:proofErr w:type="spellEnd"/>
            <w:r w:rsidR="00B42DE2">
              <w:rPr>
                <w:rFonts w:cs="Arial"/>
                <w:lang w:eastAsia="cs-CZ"/>
              </w:rPr>
              <w:t xml:space="preserve">, popřípadě je předává subjektu údajů. Záznam se netýká datového obsahu informačního systému Czech POINT, jehož správcem </w:t>
            </w:r>
            <w:r w:rsidR="00404516">
              <w:rPr>
                <w:rFonts w:cs="Arial"/>
                <w:lang w:eastAsia="cs-CZ"/>
              </w:rPr>
              <w:t>není obec</w:t>
            </w:r>
            <w:r w:rsidR="00B42DE2">
              <w:rPr>
                <w:rFonts w:cs="Arial"/>
                <w:lang w:eastAsia="cs-CZ"/>
              </w:rPr>
              <w:t xml:space="preserve"> a pro obec nelze dovodit ani roli zpracovatele.</w:t>
            </w:r>
            <w:r w:rsidR="00404516">
              <w:rPr>
                <w:rFonts w:cs="Arial"/>
                <w:lang w:eastAsia="cs-CZ"/>
              </w:rPr>
              <w:t>)</w:t>
            </w:r>
          </w:p>
        </w:tc>
      </w:tr>
      <w:tr w:rsidR="004C7453" w:rsidRPr="00CE5A7E" w:rsidTr="00C2122B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AA5950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C2122B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A85DE3" w:rsidRDefault="00A85DE3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Fyzická osoba</w:t>
            </w:r>
            <w:r w:rsidR="00653CB9" w:rsidRPr="00653CB9">
              <w:rPr>
                <w:rFonts w:cs="Arial"/>
                <w:lang w:eastAsia="cs-CZ"/>
              </w:rPr>
              <w:t>, která činí podání na k</w:t>
            </w:r>
            <w:r>
              <w:rPr>
                <w:rFonts w:cs="Arial"/>
                <w:lang w:eastAsia="cs-CZ"/>
              </w:rPr>
              <w:t>ontaktním místě veřejné správy.</w:t>
            </w:r>
          </w:p>
        </w:tc>
      </w:tr>
      <w:tr w:rsidR="00CE5A7E" w:rsidRPr="00CE5A7E" w:rsidTr="00C2122B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AA595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C2122B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53CB9" w:rsidRDefault="00A85DE3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nezbytné pro</w:t>
            </w:r>
            <w:r w:rsidR="00653CB9" w:rsidRPr="00653CB9">
              <w:rPr>
                <w:rFonts w:cs="Arial"/>
                <w:lang w:eastAsia="cs-CZ"/>
              </w:rPr>
              <w:t xml:space="preserve"> účely ověření totožnosti fyzické osoby, která činí podání na kontaktním místě veřejné správy, a k elektron</w:t>
            </w:r>
            <w:r>
              <w:rPr>
                <w:rFonts w:cs="Arial"/>
                <w:lang w:eastAsia="cs-CZ"/>
              </w:rPr>
              <w:t>ickému zpracování jejího</w:t>
            </w:r>
            <w:r w:rsidR="00174758">
              <w:rPr>
                <w:rFonts w:cs="Arial"/>
                <w:lang w:eastAsia="cs-CZ"/>
              </w:rPr>
              <w:t xml:space="preserve"> podání, včetně referenčních úd</w:t>
            </w:r>
            <w:r>
              <w:rPr>
                <w:rFonts w:cs="Arial"/>
                <w:lang w:eastAsia="cs-CZ"/>
              </w:rPr>
              <w:t xml:space="preserve">ajů </w:t>
            </w:r>
            <w:r w:rsidR="00653CB9" w:rsidRPr="00653CB9">
              <w:rPr>
                <w:rFonts w:cs="Arial"/>
                <w:lang w:eastAsia="cs-CZ"/>
              </w:rPr>
              <w:t>ze základního registru obyvatel a údaj</w:t>
            </w:r>
            <w:r>
              <w:rPr>
                <w:rFonts w:cs="Arial"/>
                <w:lang w:eastAsia="cs-CZ"/>
              </w:rPr>
              <w:t>e</w:t>
            </w:r>
            <w:r w:rsidR="00653CB9" w:rsidRPr="00653CB9">
              <w:rPr>
                <w:rFonts w:cs="Arial"/>
                <w:lang w:eastAsia="cs-CZ"/>
              </w:rPr>
              <w:t xml:space="preserve"> o rodném příjmení z informačního systému</w:t>
            </w:r>
            <w:r>
              <w:rPr>
                <w:rFonts w:cs="Arial"/>
                <w:lang w:eastAsia="cs-CZ"/>
              </w:rPr>
              <w:t xml:space="preserve"> evidence obyvatel</w:t>
            </w:r>
            <w:r w:rsidR="00653CB9" w:rsidRPr="00653CB9">
              <w:rPr>
                <w:rFonts w:cs="Arial"/>
                <w:lang w:eastAsia="cs-CZ"/>
              </w:rPr>
              <w:t>.</w:t>
            </w:r>
          </w:p>
          <w:p w:rsidR="009305D0" w:rsidRDefault="009305D0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Údaje, které jsou obsahem výpisů</w:t>
            </w:r>
            <w:r w:rsidR="00B402F9">
              <w:rPr>
                <w:rFonts w:cs="Arial"/>
                <w:lang w:eastAsia="cs-CZ"/>
              </w:rPr>
              <w:t>, ověřených výstupů</w:t>
            </w:r>
            <w:r>
              <w:rPr>
                <w:rFonts w:cs="Arial"/>
                <w:lang w:eastAsia="cs-CZ"/>
              </w:rPr>
              <w:t xml:space="preserve"> z informačních systémů veřejné správy a podobných výstupů pořizovaný</w:t>
            </w:r>
            <w:bookmarkStart w:id="0" w:name="_GoBack"/>
            <w:bookmarkEnd w:id="0"/>
            <w:r>
              <w:rPr>
                <w:rFonts w:cs="Arial"/>
                <w:lang w:eastAsia="cs-CZ"/>
              </w:rPr>
              <w:t>ch prostřednictvím Czech POINT.</w:t>
            </w:r>
          </w:p>
          <w:p w:rsidR="00A23E2B" w:rsidRDefault="00A23E2B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nezbytné pro doručování písemností ve formě výstupů autorizované konverze dokumentů podle správního řádu.</w:t>
            </w:r>
          </w:p>
          <w:p w:rsidR="00C646EA" w:rsidRPr="00CE5A7E" w:rsidRDefault="00C646EA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nezbytné pro vedení evidence žádostí o výpis z Rejstříku trestů.</w:t>
            </w:r>
          </w:p>
        </w:tc>
      </w:tr>
      <w:tr w:rsidR="003441F4" w:rsidRPr="00CE5A7E" w:rsidTr="00C2122B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AA595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C2122B">
        <w:trPr>
          <w:trHeight w:val="396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441F4" w:rsidRPr="00CE5A7E" w:rsidRDefault="003171AA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lastRenderedPageBreak/>
              <w:t xml:space="preserve">Správce informačního systému </w:t>
            </w:r>
            <w:r w:rsidR="008F6030">
              <w:rPr>
                <w:rFonts w:cs="Arial"/>
                <w:lang w:eastAsia="cs-CZ"/>
              </w:rPr>
              <w:t>kontaktních míst veřejné správy</w:t>
            </w:r>
            <w:r w:rsidRPr="003171AA">
              <w:rPr>
                <w:rFonts w:cs="Arial"/>
                <w:lang w:eastAsia="cs-CZ"/>
              </w:rPr>
              <w:t>.</w:t>
            </w:r>
          </w:p>
        </w:tc>
      </w:tr>
      <w:tr w:rsidR="0058121C" w:rsidRPr="00CE5A7E" w:rsidTr="00C2122B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AA5950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C2122B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646EA" w:rsidRPr="00CE5A7E" w:rsidRDefault="00E80242" w:rsidP="00E80242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Žádost o vydání výpisu z Rejstříku trestů uchovává kontaktní místo veřejné správy po dobu dvou let od jejího podání.</w:t>
            </w:r>
          </w:p>
        </w:tc>
      </w:tr>
      <w:tr w:rsidR="0074279D" w:rsidRPr="00CE5A7E" w:rsidTr="00C2122B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AA5950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C2122B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F686A" w:rsidRDefault="0074279D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Přístup k</w:t>
            </w:r>
            <w:r w:rsidR="00DC1BC9">
              <w:rPr>
                <w:rFonts w:cs="Arial"/>
                <w:lang w:eastAsia="cs-CZ"/>
              </w:rPr>
              <w:t xml:space="preserve"> informačnímu systému </w:t>
            </w:r>
            <w:r>
              <w:rPr>
                <w:rFonts w:cs="Arial"/>
                <w:lang w:eastAsia="cs-CZ"/>
              </w:rPr>
              <w:t>je zabezpečen hesly v souladu s nastavením přístupových práv vnitřními předpisy obce.</w:t>
            </w:r>
            <w:r w:rsidR="000A7F88">
              <w:rPr>
                <w:rFonts w:cs="Arial"/>
                <w:lang w:eastAsia="cs-CZ"/>
              </w:rPr>
              <w:t xml:space="preserve"> Fyzické prostředky jsou spravovány v uzamykaných prostorách.</w:t>
            </w:r>
          </w:p>
          <w:p w:rsidR="00F92333" w:rsidRDefault="00F92333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Výstupy z informačních systémů veřejné správy se subjektům údajů předávají tak, aby byly odpovídajícím způsobem skryty před třetími osobami.</w:t>
            </w:r>
          </w:p>
          <w:p w:rsidR="00CF0799" w:rsidRDefault="00CF0799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Obec neuchovává kopie podání učiněných prostřednictvím Czech POINT ani výpisů pořízených z informačních systému veřejné správy.</w:t>
            </w:r>
          </w:p>
          <w:p w:rsidR="0042639E" w:rsidRPr="0042639E" w:rsidRDefault="0042639E" w:rsidP="00AA5950">
            <w:pPr>
              <w:spacing w:before="60" w:after="60" w:line="240" w:lineRule="auto"/>
              <w:rPr>
                <w:rFonts w:cs="Arial"/>
                <w:i/>
                <w:lang w:eastAsia="cs-CZ"/>
              </w:rPr>
            </w:pPr>
            <w:r w:rsidRPr="0042639E">
              <w:rPr>
                <w:rFonts w:cs="Arial"/>
                <w:i/>
                <w:lang w:eastAsia="cs-CZ"/>
              </w:rPr>
              <w:t>Datové připojení k informačnímu systému kontaktních míst veřejné správy je zajištěno… (doplní obec dle své praxe).</w:t>
            </w:r>
          </w:p>
        </w:tc>
      </w:tr>
    </w:tbl>
    <w:p w:rsidR="007A2320" w:rsidRPr="00CE5A7E" w:rsidRDefault="007A2320" w:rsidP="00AA5950">
      <w:pPr>
        <w:spacing w:line="240" w:lineRule="auto"/>
        <w:rPr>
          <w:rFonts w:cs="Arial"/>
        </w:rPr>
      </w:pPr>
    </w:p>
    <w:sectPr w:rsidR="007A2320" w:rsidRPr="00CE5A7E" w:rsidSect="00AA5950"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16689"/>
    <w:rsid w:val="00034A9E"/>
    <w:rsid w:val="00077A8C"/>
    <w:rsid w:val="000A7F88"/>
    <w:rsid w:val="00174758"/>
    <w:rsid w:val="001B1888"/>
    <w:rsid w:val="001D3C73"/>
    <w:rsid w:val="00213102"/>
    <w:rsid w:val="00300AA0"/>
    <w:rsid w:val="003171AA"/>
    <w:rsid w:val="00317882"/>
    <w:rsid w:val="00326123"/>
    <w:rsid w:val="00343B26"/>
    <w:rsid w:val="003441F4"/>
    <w:rsid w:val="00363236"/>
    <w:rsid w:val="00363B1E"/>
    <w:rsid w:val="0037148B"/>
    <w:rsid w:val="00375592"/>
    <w:rsid w:val="003C18B7"/>
    <w:rsid w:val="00404516"/>
    <w:rsid w:val="00416689"/>
    <w:rsid w:val="0042639E"/>
    <w:rsid w:val="00476524"/>
    <w:rsid w:val="004B4D64"/>
    <w:rsid w:val="004C7453"/>
    <w:rsid w:val="004D0C21"/>
    <w:rsid w:val="004D1B88"/>
    <w:rsid w:val="0058121C"/>
    <w:rsid w:val="00644A40"/>
    <w:rsid w:val="00653CB9"/>
    <w:rsid w:val="006F0292"/>
    <w:rsid w:val="00710F79"/>
    <w:rsid w:val="007342DE"/>
    <w:rsid w:val="00736031"/>
    <w:rsid w:val="0074279D"/>
    <w:rsid w:val="00746244"/>
    <w:rsid w:val="007807D1"/>
    <w:rsid w:val="007A2320"/>
    <w:rsid w:val="0081005E"/>
    <w:rsid w:val="008F6030"/>
    <w:rsid w:val="009106B9"/>
    <w:rsid w:val="009305D0"/>
    <w:rsid w:val="00960E73"/>
    <w:rsid w:val="00962D62"/>
    <w:rsid w:val="00A23E2B"/>
    <w:rsid w:val="00A85DE3"/>
    <w:rsid w:val="00AA5950"/>
    <w:rsid w:val="00B00EFF"/>
    <w:rsid w:val="00B01362"/>
    <w:rsid w:val="00B14F17"/>
    <w:rsid w:val="00B402F9"/>
    <w:rsid w:val="00B42DE2"/>
    <w:rsid w:val="00BF0A4A"/>
    <w:rsid w:val="00BF55ED"/>
    <w:rsid w:val="00BF686A"/>
    <w:rsid w:val="00C02FE6"/>
    <w:rsid w:val="00C2122B"/>
    <w:rsid w:val="00C31AA0"/>
    <w:rsid w:val="00C646EA"/>
    <w:rsid w:val="00C97FC0"/>
    <w:rsid w:val="00CC2319"/>
    <w:rsid w:val="00CE5A7E"/>
    <w:rsid w:val="00CF0799"/>
    <w:rsid w:val="00D5687E"/>
    <w:rsid w:val="00DC1BC9"/>
    <w:rsid w:val="00DF3402"/>
    <w:rsid w:val="00E05CC2"/>
    <w:rsid w:val="00E74D30"/>
    <w:rsid w:val="00E80242"/>
    <w:rsid w:val="00E87472"/>
    <w:rsid w:val="00EA21D3"/>
    <w:rsid w:val="00F32E8D"/>
    <w:rsid w:val="00F51D68"/>
    <w:rsid w:val="00F92333"/>
    <w:rsid w:val="00FC038D"/>
    <w:rsid w:val="00FC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character" w:customStyle="1" w:styleId="ktykontaktnazev">
    <w:name w:val="kty_kontakt_nazev"/>
    <w:basedOn w:val="Standardnpsmoodstavce"/>
    <w:rsid w:val="009106B9"/>
  </w:style>
  <w:style w:type="character" w:customStyle="1" w:styleId="ktykontakthodnota">
    <w:name w:val="kty_kontakt_hodnota"/>
    <w:basedOn w:val="Standardnpsmoodstavce"/>
    <w:rsid w:val="00910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Windows</cp:lastModifiedBy>
  <cp:revision>18</cp:revision>
  <dcterms:created xsi:type="dcterms:W3CDTF">2018-06-06T13:01:00Z</dcterms:created>
  <dcterms:modified xsi:type="dcterms:W3CDTF">2018-06-18T11:48:00Z</dcterms:modified>
</cp:coreProperties>
</file>